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83329">
      <w:pPr>
        <w:keepNext/>
        <w:keepLines/>
        <w:pageBreakBefore w:val="0"/>
        <w:widowControl w:val="0"/>
        <w:tabs>
          <w:tab w:val="left" w:pos="0"/>
        </w:tabs>
        <w:kinsoku/>
        <w:wordWrap/>
        <w:overflowPunct/>
        <w:topLinePunct w:val="0"/>
        <w:autoSpaceDE/>
        <w:autoSpaceDN/>
        <w:bidi w:val="0"/>
        <w:adjustRightInd w:val="0"/>
        <w:snapToGrid w:val="0"/>
        <w:spacing w:line="560" w:lineRule="exact"/>
        <w:jc w:val="center"/>
        <w:textAlignment w:val="baseline"/>
        <w:outlineLvl w:val="0"/>
        <w:rPr>
          <w:rFonts w:hint="eastAsia" w:asciiTheme="majorEastAsia" w:hAnsiTheme="majorEastAsia" w:eastAsiaTheme="majorEastAsia" w:cstheme="majorEastAsia"/>
          <w:b/>
          <w:bCs w:val="0"/>
          <w:color w:val="000000"/>
          <w:kern w:val="44"/>
          <w:sz w:val="44"/>
          <w:szCs w:val="44"/>
          <w:lang w:val="zh-CN" w:eastAsia="zh-CN"/>
        </w:rPr>
      </w:pPr>
    </w:p>
    <w:p w14:paraId="446782D8">
      <w:pPr>
        <w:keepNext/>
        <w:keepLines/>
        <w:pageBreakBefore w:val="0"/>
        <w:widowControl w:val="0"/>
        <w:tabs>
          <w:tab w:val="left" w:pos="0"/>
        </w:tabs>
        <w:kinsoku/>
        <w:wordWrap/>
        <w:overflowPunct/>
        <w:topLinePunct w:val="0"/>
        <w:autoSpaceDE/>
        <w:autoSpaceDN/>
        <w:bidi w:val="0"/>
        <w:adjustRightInd w:val="0"/>
        <w:snapToGrid w:val="0"/>
        <w:spacing w:line="560" w:lineRule="exact"/>
        <w:jc w:val="center"/>
        <w:textAlignment w:val="baseline"/>
        <w:outlineLvl w:val="0"/>
        <w:rPr>
          <w:rFonts w:hint="eastAsia" w:asciiTheme="majorEastAsia" w:hAnsiTheme="majorEastAsia" w:eastAsiaTheme="majorEastAsia" w:cstheme="majorEastAsia"/>
          <w:b/>
          <w:bCs w:val="0"/>
          <w:color w:val="000000"/>
          <w:kern w:val="44"/>
          <w:sz w:val="44"/>
          <w:szCs w:val="44"/>
          <w:lang w:val="zh-CN"/>
        </w:rPr>
      </w:pPr>
      <w:r>
        <w:rPr>
          <w:rFonts w:hint="eastAsia" w:asciiTheme="majorEastAsia" w:hAnsiTheme="majorEastAsia" w:eastAsiaTheme="majorEastAsia" w:cstheme="majorEastAsia"/>
          <w:b/>
          <w:bCs w:val="0"/>
          <w:color w:val="000000"/>
          <w:kern w:val="44"/>
          <w:sz w:val="44"/>
          <w:szCs w:val="44"/>
          <w:lang w:val="zh-CN" w:eastAsia="zh-CN"/>
        </w:rPr>
        <w:t>S</w:t>
      </w:r>
      <w:r>
        <w:rPr>
          <w:rFonts w:hint="eastAsia" w:asciiTheme="majorEastAsia" w:hAnsiTheme="majorEastAsia" w:eastAsiaTheme="majorEastAsia" w:cstheme="majorEastAsia"/>
          <w:b/>
          <w:bCs w:val="0"/>
          <w:color w:val="000000"/>
          <w:kern w:val="44"/>
          <w:sz w:val="44"/>
          <w:szCs w:val="44"/>
          <w:lang w:val="en-US" w:eastAsia="zh-CN"/>
        </w:rPr>
        <w:t>227阿图什至喀什公路新建工程特许经营实施方案编制</w:t>
      </w:r>
      <w:r>
        <w:rPr>
          <w:rFonts w:hint="eastAsia" w:asciiTheme="majorEastAsia" w:hAnsiTheme="majorEastAsia" w:eastAsiaTheme="majorEastAsia" w:cstheme="majorEastAsia"/>
          <w:b/>
          <w:bCs w:val="0"/>
          <w:color w:val="000000"/>
          <w:kern w:val="44"/>
          <w:sz w:val="44"/>
          <w:szCs w:val="44"/>
          <w:lang w:val="zh-CN" w:eastAsia="zh-CN"/>
        </w:rPr>
        <w:t>技术服务方案</w:t>
      </w:r>
    </w:p>
    <w:p w14:paraId="78FDEFC1">
      <w:pPr>
        <w:keepNext/>
        <w:keepLines/>
        <w:pageBreakBefore w:val="0"/>
        <w:widowControl w:val="0"/>
        <w:kinsoku/>
        <w:wordWrap/>
        <w:overflowPunct/>
        <w:topLinePunct w:val="0"/>
        <w:autoSpaceDE/>
        <w:autoSpaceDN/>
        <w:bidi w:val="0"/>
        <w:adjustRightInd w:val="0"/>
        <w:snapToGrid w:val="0"/>
        <w:spacing w:line="560" w:lineRule="exact"/>
        <w:ind w:firstLine="640" w:firstLineChars="200"/>
        <w:outlineLvl w:val="0"/>
        <w:rPr>
          <w:rFonts w:hint="eastAsia" w:ascii="黑体" w:hAnsi="黑体" w:eastAsia="黑体" w:cs="黑体"/>
          <w:b w:val="0"/>
          <w:bCs w:val="0"/>
          <w:kern w:val="44"/>
          <w:sz w:val="32"/>
          <w:szCs w:val="32"/>
          <w:lang w:val="ru-RU"/>
        </w:rPr>
      </w:pPr>
      <w:bookmarkStart w:id="0" w:name="_Toc62212091"/>
    </w:p>
    <w:p w14:paraId="2B7B4489">
      <w:pPr>
        <w:keepNext/>
        <w:keepLines/>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ascii="Times New Roman" w:hAnsi="Times New Roman" w:eastAsia="宋体" w:cs="Times New Roman"/>
          <w:b/>
          <w:bCs/>
          <w:kern w:val="44"/>
          <w:sz w:val="32"/>
          <w:szCs w:val="44"/>
          <w:lang w:val="ru-RU"/>
        </w:rPr>
      </w:pPr>
      <w:r>
        <w:rPr>
          <w:rFonts w:hint="eastAsia" w:ascii="黑体" w:hAnsi="黑体" w:eastAsia="黑体" w:cs="黑体"/>
          <w:b w:val="0"/>
          <w:bCs w:val="0"/>
          <w:kern w:val="44"/>
          <w:sz w:val="32"/>
          <w:szCs w:val="32"/>
          <w:lang w:val="ru-RU" w:eastAsia="zh-CN"/>
        </w:rPr>
        <w:t>一、</w:t>
      </w:r>
      <w:r>
        <w:rPr>
          <w:rFonts w:hint="eastAsia" w:ascii="黑体" w:hAnsi="黑体" w:eastAsia="黑体" w:cs="黑体"/>
          <w:b w:val="0"/>
          <w:bCs w:val="0"/>
          <w:kern w:val="44"/>
          <w:sz w:val="32"/>
          <w:szCs w:val="32"/>
          <w:lang w:val="ru-RU"/>
        </w:rPr>
        <w:t>工程概况</w:t>
      </w:r>
      <w:bookmarkEnd w:id="0"/>
    </w:p>
    <w:p w14:paraId="6A7C636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S227阿图什至喀什公路新建工程</w:t>
      </w:r>
      <w:r>
        <w:rPr>
          <w:rFonts w:hint="eastAsia" w:ascii="仿宋" w:hAnsi="仿宋" w:eastAsia="仿宋" w:cs="仿宋"/>
          <w:sz w:val="32"/>
          <w:szCs w:val="32"/>
          <w:lang w:eastAsia="zh-CN"/>
        </w:rPr>
        <w:t>建设地点位于克孜勒苏柯尔克孜自治州阿图什市、喀什地区喀什市，根据工程建设模式需要开展特许经营实施方案编制等相关咨询服务，完成合作协议签订等工作，确保项目按照特许经营模式顺利推进完成。</w:t>
      </w:r>
    </w:p>
    <w:p w14:paraId="7FF555B9">
      <w:pPr>
        <w:keepNext/>
        <w:keepLines/>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b w:val="0"/>
          <w:bCs w:val="0"/>
          <w:kern w:val="44"/>
          <w:sz w:val="32"/>
          <w:szCs w:val="32"/>
          <w:lang w:val="ru-RU"/>
        </w:rPr>
      </w:pPr>
      <w:bookmarkStart w:id="1" w:name="_Toc62212092"/>
      <w:r>
        <w:rPr>
          <w:rFonts w:hint="eastAsia" w:ascii="黑体" w:hAnsi="黑体" w:eastAsia="黑体" w:cs="黑体"/>
          <w:b w:val="0"/>
          <w:bCs w:val="0"/>
          <w:kern w:val="44"/>
          <w:sz w:val="32"/>
          <w:szCs w:val="32"/>
          <w:lang w:val="ru-RU" w:eastAsia="zh-CN"/>
        </w:rPr>
        <w:t>二、</w:t>
      </w:r>
      <w:bookmarkEnd w:id="1"/>
      <w:r>
        <w:rPr>
          <w:rFonts w:hint="eastAsia" w:ascii="黑体" w:hAnsi="黑体" w:eastAsia="黑体" w:cs="黑体"/>
          <w:b w:val="0"/>
          <w:bCs w:val="0"/>
          <w:kern w:val="44"/>
          <w:sz w:val="32"/>
          <w:szCs w:val="32"/>
          <w:lang w:val="ru-RU" w:eastAsia="zh-CN"/>
        </w:rPr>
        <w:t>主要参数</w:t>
      </w:r>
      <w:r>
        <w:rPr>
          <w:rFonts w:hint="eastAsia" w:ascii="黑体" w:hAnsi="黑体" w:eastAsia="黑体" w:cs="黑体"/>
          <w:b w:val="0"/>
          <w:bCs w:val="0"/>
          <w:kern w:val="44"/>
          <w:sz w:val="32"/>
          <w:szCs w:val="32"/>
          <w:lang w:val="ru-RU"/>
        </w:rPr>
        <w:t>及工作任务内容</w:t>
      </w:r>
    </w:p>
    <w:p w14:paraId="7007AE5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w:t>
      </w:r>
      <w:r>
        <w:rPr>
          <w:rFonts w:hint="eastAsia" w:ascii="楷体" w:hAnsi="楷体" w:eastAsia="楷体" w:cs="楷体"/>
          <w:b w:val="0"/>
          <w:bCs w:val="0"/>
          <w:kern w:val="44"/>
          <w:sz w:val="32"/>
          <w:szCs w:val="32"/>
          <w:lang w:val="ru-RU" w:eastAsia="zh-CN"/>
        </w:rPr>
        <w:t>主要参数</w:t>
      </w:r>
    </w:p>
    <w:p w14:paraId="1F31120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采购计划</w:t>
      </w:r>
      <w:r>
        <w:rPr>
          <w:rFonts w:hint="eastAsia" w:ascii="仿宋" w:hAnsi="仿宋" w:eastAsia="仿宋" w:cs="仿宋"/>
          <w:sz w:val="32"/>
          <w:szCs w:val="32"/>
          <w:lang w:eastAsia="zh-CN"/>
        </w:rPr>
        <w:t>数量：</w:t>
      </w:r>
      <w:r>
        <w:rPr>
          <w:rFonts w:hint="eastAsia" w:ascii="仿宋" w:hAnsi="仿宋" w:eastAsia="仿宋" w:cs="仿宋"/>
          <w:sz w:val="32"/>
          <w:szCs w:val="32"/>
          <w:lang w:val="en-US" w:eastAsia="zh-CN"/>
        </w:rPr>
        <w:t>1项</w:t>
      </w:r>
    </w:p>
    <w:p w14:paraId="3B2EFC8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2.资金来源：财政资金（列入部门预算资金150万元）</w:t>
      </w:r>
    </w:p>
    <w:p w14:paraId="3557259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3.预算金额：单价90万元（最高控制价）</w:t>
      </w:r>
    </w:p>
    <w:p w14:paraId="26D5745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4.服务周期：</w:t>
      </w:r>
      <w:r>
        <w:rPr>
          <w:rFonts w:hint="default" w:ascii="仿宋" w:hAnsi="仿宋" w:eastAsia="仿宋" w:cs="仿宋"/>
          <w:sz w:val="32"/>
          <w:szCs w:val="32"/>
          <w:lang w:val="en" w:eastAsia="zh-CN"/>
        </w:rPr>
        <w:t>180</w:t>
      </w:r>
      <w:r>
        <w:rPr>
          <w:rFonts w:hint="eastAsia" w:ascii="仿宋" w:hAnsi="仿宋" w:eastAsia="仿宋" w:cs="仿宋"/>
          <w:sz w:val="32"/>
          <w:szCs w:val="32"/>
          <w:lang w:val="en-US" w:eastAsia="zh-CN"/>
        </w:rPr>
        <w:t>天</w:t>
      </w:r>
    </w:p>
    <w:p w14:paraId="1DB4C2E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（二）主要服务任务工作内容：</w:t>
      </w:r>
      <w:bookmarkStart w:id="2" w:name="_Toc62212094"/>
    </w:p>
    <w:p w14:paraId="3E2E727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（一）特许经营方案</w:t>
      </w:r>
      <w:bookmarkStart w:id="3" w:name="_GoBack"/>
      <w:bookmarkEnd w:id="3"/>
      <w:r>
        <w:rPr>
          <w:rFonts w:hint="eastAsia" w:ascii="仿宋" w:hAnsi="仿宋" w:eastAsia="仿宋" w:cs="仿宋"/>
          <w:sz w:val="32"/>
          <w:szCs w:val="32"/>
          <w:lang w:eastAsia="zh-CN"/>
        </w:rPr>
        <w:t>编制服务</w:t>
      </w:r>
    </w:p>
    <w:p w14:paraId="405DF83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1.编制特许经营方案</w:t>
      </w:r>
    </w:p>
    <w:p w14:paraId="2E34113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内容主要包括：</w:t>
      </w:r>
    </w:p>
    <w:p w14:paraId="79ACFD9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（1）项目名称及概述，建设背景和必要性；</w:t>
      </w:r>
    </w:p>
    <w:p w14:paraId="20ED5EA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（2）项目建设规模、投资总额、实施进度，以及提供公共产品或公共服务的标准等基本经济技术指标；</w:t>
      </w:r>
    </w:p>
    <w:p w14:paraId="14064F3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（3）投资回报、价格及其测算；</w:t>
      </w:r>
    </w:p>
    <w:p w14:paraId="66A47EC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（4）项目可行性及特许经营可行性论证；</w:t>
      </w:r>
    </w:p>
    <w:p w14:paraId="20FB2D9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（5）特许经营者应当具备的条件及选择方式；</w:t>
      </w:r>
    </w:p>
    <w:p w14:paraId="4249260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（6）政府承诺和保障；</w:t>
      </w:r>
    </w:p>
    <w:p w14:paraId="5FC3D0F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（7）特许经营涉及的国有资产管理要求，以及特许经营期限届满后资产处置方式；</w:t>
      </w:r>
    </w:p>
    <w:p w14:paraId="143E142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（8）应当明确的其他事项。</w:t>
      </w:r>
    </w:p>
    <w:p w14:paraId="16942E3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2.拟定有关实施方案上报请示和批复文件，根据相关部门审查意见修改实施方案直至定稿并取得审查批复意见。</w:t>
      </w:r>
    </w:p>
    <w:p w14:paraId="25CA53B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（二）特许经营可行性论证服务</w:t>
      </w:r>
    </w:p>
    <w:p w14:paraId="7993836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根据委托方的要求，按照《基础设施和公用事业特许经营管理办法》的规定，开展特许经营可行性论证，从项目全生命周期成本、产出或服务效果、建设运营效率、风险防范控制等方面，特别是对采取特许经营模式和传统政府投资模式在投入产出、经济社会效益等方面进行比较分析，对项目是否适合采用特许经营模式进行论证。此外，还应当对相关领域市场发育程度、企业建设运营能力状况和参与意愿、项目产品服务使用者支付意愿和能力进行评估，确保特许经营模式可以落地实施。</w:t>
      </w:r>
    </w:p>
    <w:p w14:paraId="028FD0D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（三）初步协议、特许经营协议编制服务</w:t>
      </w:r>
    </w:p>
    <w:p w14:paraId="6897854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编制初步协议，主要包括以下内容：（1）协议各方主体；（2）协议各方权利和义务；（3）项目公司的注册；（4）合作范围；（5）特许经营期；（6）项目投融资结构；（7）特许经营协议的签署；（8）违约责任；（9）其他事项。</w:t>
      </w:r>
    </w:p>
    <w:p w14:paraId="4FFF673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2.根据《基础设施和公用事业特许经营管理办法》的要求编制特许经营协议。</w:t>
      </w:r>
    </w:p>
    <w:p w14:paraId="4237A20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特许经营协议主要包括以下内容：（1）项目名称、内容；（2）特许经营方式、区域、范围和期限；（3）如成立项目公司，明确项目公司的经营范围、注册资本、股东出资方式、出资比例、股权转让等；（4）所提供产品或者服务的数量、质量和标准；（5）特许经营项目建设、运营期间的资产权属，以及相应的维护和更新改造；（6）监测评估；（7）投融资期限和方式；（8）收益取得方式，价格和收费标准的确定方法以及调整程序；（9）履约担保；（10）特许经营期内的风险分担；（11）因法律法规、标准规范、国家政策等管理要求调整变化对特许经营者提出的相应要求，以及成本承担方式；（12）政府承诺和保障；（13）应急预案和临时接管预案；（14）特许经营期限届满后，项目及资产移交方式、程序和要求等；（15）实施环境变化、重大技术变化、市场价格重大变化等协议变更情形，提前终止及补偿；（16）违约责任；（17）争议解决方式；（18）需要明确的其他事项。</w:t>
      </w:r>
    </w:p>
    <w:p w14:paraId="18AA3DC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3.如政府安排出资人代表参与特许经营项目公司，草拟股东协议。</w:t>
      </w:r>
    </w:p>
    <w:p w14:paraId="646C581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（四）协助谈判</w:t>
      </w:r>
    </w:p>
    <w:p w14:paraId="192F7C7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1.协助项目实施机构接待潜在投标人进行现场踏勘及尽职调查、参加标前会议（如组织现场踏勘和标前会议的）。</w:t>
      </w:r>
    </w:p>
    <w:p w14:paraId="7D99324B">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2.协助回答和澄清潜在投标人的提问。</w:t>
      </w:r>
    </w:p>
    <w:p w14:paraId="191918C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3.参加采购结果确认谈判工作组与候选社会资本就特许经营协议进行的谈判。</w:t>
      </w:r>
    </w:p>
    <w:p w14:paraId="4CC832E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4.在每一轮谈判结束时编制谈判备忘录，并根据谈判结果修改协议文本。</w:t>
      </w:r>
    </w:p>
    <w:p w14:paraId="65B938F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kern w:val="44"/>
          <w:sz w:val="32"/>
          <w:szCs w:val="32"/>
          <w:lang w:val="ru-RU"/>
        </w:rPr>
      </w:pPr>
      <w:r>
        <w:rPr>
          <w:rFonts w:hint="eastAsia" w:ascii="黑体" w:hAnsi="黑体" w:eastAsia="黑体" w:cs="黑体"/>
          <w:b w:val="0"/>
          <w:bCs w:val="0"/>
          <w:kern w:val="44"/>
          <w:sz w:val="32"/>
          <w:szCs w:val="32"/>
          <w:lang w:val="ru-RU" w:eastAsia="zh-CN"/>
        </w:rPr>
        <w:t>三</w:t>
      </w:r>
      <w:r>
        <w:rPr>
          <w:rFonts w:hint="eastAsia" w:ascii="黑体" w:hAnsi="黑体" w:eastAsia="黑体" w:cs="黑体"/>
          <w:b w:val="0"/>
          <w:bCs w:val="0"/>
          <w:kern w:val="44"/>
          <w:sz w:val="32"/>
          <w:szCs w:val="32"/>
          <w:lang w:val="ru-RU"/>
        </w:rPr>
        <w:t xml:space="preserve"> </w:t>
      </w:r>
      <w:r>
        <w:rPr>
          <w:rFonts w:hint="eastAsia" w:ascii="黑体" w:hAnsi="黑体" w:eastAsia="黑体" w:cs="黑体"/>
          <w:b w:val="0"/>
          <w:bCs w:val="0"/>
          <w:kern w:val="44"/>
          <w:sz w:val="32"/>
          <w:szCs w:val="32"/>
          <w:lang w:val="ru-RU" w:eastAsia="zh-CN"/>
        </w:rPr>
        <w:t>、</w:t>
      </w:r>
      <w:r>
        <w:rPr>
          <w:rFonts w:hint="eastAsia" w:ascii="黑体" w:hAnsi="黑体" w:eastAsia="黑体" w:cs="黑体"/>
          <w:b w:val="0"/>
          <w:bCs w:val="0"/>
          <w:kern w:val="44"/>
          <w:sz w:val="32"/>
          <w:szCs w:val="32"/>
          <w:lang w:val="ru-RU"/>
        </w:rPr>
        <w:t>工作依据</w:t>
      </w:r>
      <w:bookmarkEnd w:id="2"/>
    </w:p>
    <w:p w14:paraId="68C75C3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（1）《中华人民共和国</w:t>
      </w:r>
      <w:r>
        <w:rPr>
          <w:rFonts w:hint="eastAsia" w:ascii="仿宋" w:hAnsi="仿宋" w:eastAsia="仿宋" w:cs="仿宋"/>
          <w:sz w:val="32"/>
          <w:szCs w:val="32"/>
          <w:highlight w:val="none"/>
          <w:lang w:eastAsia="zh-CN"/>
        </w:rPr>
        <w:t>公路法</w:t>
      </w:r>
      <w:r>
        <w:rPr>
          <w:rFonts w:hint="eastAsia" w:ascii="仿宋" w:hAnsi="仿宋" w:eastAsia="仿宋" w:cs="仿宋"/>
          <w:sz w:val="32"/>
          <w:szCs w:val="32"/>
          <w:highlight w:val="none"/>
        </w:rPr>
        <w:t>》；</w:t>
      </w:r>
    </w:p>
    <w:p w14:paraId="2F4B18B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收费公路管理条例</w:t>
      </w:r>
      <w:r>
        <w:rPr>
          <w:rFonts w:hint="eastAsia" w:ascii="仿宋" w:hAnsi="仿宋" w:eastAsia="仿宋" w:cs="仿宋"/>
          <w:sz w:val="32"/>
          <w:szCs w:val="32"/>
          <w:highlight w:val="none"/>
        </w:rPr>
        <w:t>》；</w:t>
      </w:r>
    </w:p>
    <w:p w14:paraId="509FD1A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w:t>
      </w:r>
      <w:r>
        <w:rPr>
          <w:rFonts w:hint="eastAsia" w:ascii="仿宋" w:hAnsi="仿宋" w:eastAsia="仿宋" w:cs="仿宋"/>
          <w:sz w:val="32"/>
          <w:szCs w:val="32"/>
          <w:highlight w:val="none"/>
          <w:lang w:eastAsia="zh-CN"/>
        </w:rPr>
        <w:t>国家发展改革委员会《基础设施和公用事业特许经营管理办法》</w:t>
      </w:r>
      <w:r>
        <w:rPr>
          <w:rFonts w:hint="eastAsia" w:ascii="仿宋" w:hAnsi="仿宋" w:eastAsia="仿宋" w:cs="仿宋"/>
          <w:sz w:val="32"/>
          <w:szCs w:val="32"/>
          <w:highlight w:val="none"/>
        </w:rPr>
        <w:t>；</w:t>
      </w:r>
    </w:p>
    <w:p w14:paraId="6984AD1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4）国务院办公厅《关于规范实施政府和社会资本合作新机制的指导意见》（国办函</w:t>
      </w:r>
      <w:r>
        <w:rPr>
          <w:rFonts w:hint="default" w:ascii="仿宋" w:hAnsi="仿宋" w:eastAsia="仿宋" w:cs="仿宋"/>
          <w:sz w:val="32"/>
          <w:szCs w:val="32"/>
          <w:highlight w:val="none"/>
          <w:lang w:val="en" w:eastAsia="zh-CN"/>
        </w:rPr>
        <w:t>[2023]</w:t>
      </w:r>
      <w:r>
        <w:rPr>
          <w:rFonts w:hint="eastAsia" w:ascii="仿宋" w:hAnsi="仿宋" w:eastAsia="仿宋" w:cs="仿宋"/>
          <w:sz w:val="32"/>
          <w:szCs w:val="32"/>
          <w:highlight w:val="none"/>
          <w:lang w:val="en-US" w:eastAsia="zh-CN"/>
        </w:rPr>
        <w:t>115号）</w:t>
      </w:r>
    </w:p>
    <w:p w14:paraId="39BD395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highlight w:val="none"/>
          <w:lang w:val="en"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5）国家发展改革委办公厅印发《政府和社会资本合作项目特许经营方案编写大纲（2024年试行版）》的通知》（国发改字</w:t>
      </w:r>
      <w:r>
        <w:rPr>
          <w:rFonts w:hint="default" w:ascii="仿宋" w:hAnsi="仿宋" w:eastAsia="仿宋" w:cs="仿宋"/>
          <w:sz w:val="32"/>
          <w:szCs w:val="32"/>
          <w:highlight w:val="none"/>
          <w:lang w:val="en" w:eastAsia="zh-CN"/>
        </w:rPr>
        <w:t>[2024]227</w:t>
      </w:r>
      <w:r>
        <w:rPr>
          <w:rFonts w:hint="eastAsia" w:ascii="仿宋" w:hAnsi="仿宋" w:eastAsia="仿宋" w:cs="仿宋"/>
          <w:sz w:val="32"/>
          <w:szCs w:val="32"/>
          <w:highlight w:val="none"/>
          <w:lang w:val="en" w:eastAsia="zh-CN"/>
        </w:rPr>
        <w:t>号）</w:t>
      </w:r>
    </w:p>
    <w:p w14:paraId="4ACDF10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包括但不限于以上文件及其它有关法律法规及行业规定、规范等。</w:t>
      </w:r>
    </w:p>
    <w:p w14:paraId="579E8CDC">
      <w:pPr>
        <w:keepNext/>
        <w:keepLines/>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b w:val="0"/>
          <w:bCs w:val="0"/>
          <w:kern w:val="44"/>
          <w:sz w:val="32"/>
          <w:szCs w:val="32"/>
          <w:lang w:val="ru-RU" w:eastAsia="zh-CN"/>
        </w:rPr>
      </w:pPr>
      <w:r>
        <w:rPr>
          <w:rFonts w:hint="eastAsia" w:ascii="黑体" w:hAnsi="黑体" w:eastAsia="黑体" w:cs="黑体"/>
          <w:b w:val="0"/>
          <w:bCs w:val="0"/>
          <w:kern w:val="44"/>
          <w:sz w:val="32"/>
          <w:szCs w:val="32"/>
          <w:lang w:val="ru-RU" w:eastAsia="zh-CN"/>
        </w:rPr>
        <w:t>四、 成果文件</w:t>
      </w:r>
    </w:p>
    <w:p w14:paraId="247A8D1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lang w:val="en" w:eastAsia="zh-CN"/>
        </w:rPr>
      </w:pPr>
      <w:r>
        <w:rPr>
          <w:rFonts w:hint="eastAsia" w:ascii="仿宋" w:hAnsi="仿宋" w:eastAsia="仿宋" w:cs="仿宋"/>
          <w:sz w:val="32"/>
          <w:szCs w:val="32"/>
          <w:highlight w:val="none"/>
          <w:lang w:val="en" w:eastAsia="zh-CN"/>
        </w:rPr>
        <w:t>需要完成项目正常开工建设所需的所有资料和许可文件，包括但不限于以下成果文件：</w:t>
      </w:r>
    </w:p>
    <w:p w14:paraId="20A0EEB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lang w:val="en" w:eastAsia="zh-CN"/>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特许经营方案</w:t>
      </w:r>
      <w:r>
        <w:rPr>
          <w:rFonts w:hint="eastAsia" w:ascii="仿宋" w:hAnsi="仿宋" w:eastAsia="仿宋" w:cs="仿宋"/>
          <w:sz w:val="32"/>
          <w:szCs w:val="32"/>
          <w:highlight w:val="none"/>
          <w:lang w:eastAsia="zh-CN"/>
        </w:rPr>
        <w:t>及批复</w:t>
      </w:r>
      <w:r>
        <w:rPr>
          <w:rFonts w:hint="eastAsia" w:ascii="仿宋" w:hAnsi="仿宋" w:eastAsia="仿宋" w:cs="仿宋"/>
          <w:sz w:val="32"/>
          <w:szCs w:val="32"/>
          <w:highlight w:val="none"/>
          <w:lang w:val="en" w:eastAsia="zh-CN"/>
        </w:rPr>
        <w:t>；</w:t>
      </w:r>
    </w:p>
    <w:p w14:paraId="46F06AB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lang w:val="en" w:eastAsia="zh-CN"/>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特许经营可行性</w:t>
      </w:r>
      <w:r>
        <w:rPr>
          <w:rFonts w:hint="eastAsia" w:ascii="仿宋" w:hAnsi="仿宋" w:eastAsia="仿宋" w:cs="仿宋"/>
          <w:sz w:val="32"/>
          <w:szCs w:val="32"/>
          <w:highlight w:val="none"/>
          <w:lang w:eastAsia="zh-CN"/>
        </w:rPr>
        <w:t>论证报告</w:t>
      </w:r>
      <w:r>
        <w:rPr>
          <w:rFonts w:hint="eastAsia" w:ascii="仿宋" w:hAnsi="仿宋" w:eastAsia="仿宋" w:cs="仿宋"/>
          <w:sz w:val="32"/>
          <w:szCs w:val="32"/>
          <w:highlight w:val="none"/>
          <w:lang w:val="en" w:eastAsia="zh-CN"/>
        </w:rPr>
        <w:t>；</w:t>
      </w:r>
    </w:p>
    <w:p w14:paraId="436462B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lang w:eastAsia="zh-CN"/>
        </w:rPr>
        <w:t>初步协议、特许经营协议</w:t>
      </w:r>
      <w:r>
        <w:rPr>
          <w:rFonts w:hint="eastAsia" w:ascii="仿宋" w:hAnsi="仿宋" w:eastAsia="仿宋" w:cs="仿宋"/>
          <w:sz w:val="32"/>
          <w:szCs w:val="32"/>
          <w:lang w:val="en-US" w:eastAsia="zh-CN"/>
        </w:rPr>
        <w:t>；</w:t>
      </w:r>
    </w:p>
    <w:p w14:paraId="126793F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4.与特许经营有关的其他资料和文件；</w:t>
      </w:r>
    </w:p>
    <w:p w14:paraId="48BBB547">
      <w:pPr>
        <w:keepNext/>
        <w:keepLines/>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b w:val="0"/>
          <w:bCs w:val="0"/>
          <w:kern w:val="44"/>
          <w:sz w:val="32"/>
          <w:szCs w:val="32"/>
          <w:highlight w:val="none"/>
          <w:lang w:val="ru-RU" w:eastAsia="zh-CN"/>
        </w:rPr>
      </w:pPr>
      <w:r>
        <w:rPr>
          <w:rFonts w:hint="eastAsia" w:ascii="黑体" w:hAnsi="黑体" w:eastAsia="黑体" w:cs="黑体"/>
          <w:b w:val="0"/>
          <w:bCs w:val="0"/>
          <w:kern w:val="44"/>
          <w:sz w:val="32"/>
          <w:szCs w:val="32"/>
          <w:highlight w:val="none"/>
          <w:lang w:val="ru-RU" w:eastAsia="zh-CN"/>
        </w:rPr>
        <w:t>五、其他要求</w:t>
      </w:r>
    </w:p>
    <w:p w14:paraId="0D65A5DB">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1.需要完成项目开工建设所需的所有</w:t>
      </w:r>
      <w:r>
        <w:rPr>
          <w:rFonts w:hint="eastAsia" w:ascii="仿宋" w:hAnsi="仿宋" w:eastAsia="仿宋" w:cs="仿宋"/>
          <w:sz w:val="32"/>
          <w:szCs w:val="32"/>
          <w:highlight w:val="none"/>
          <w:lang w:val="en" w:eastAsia="zh-CN"/>
        </w:rPr>
        <w:t>资料和</w:t>
      </w:r>
      <w:r>
        <w:rPr>
          <w:rFonts w:hint="eastAsia" w:ascii="仿宋" w:hAnsi="仿宋" w:eastAsia="仿宋" w:cs="仿宋"/>
          <w:sz w:val="32"/>
          <w:szCs w:val="32"/>
          <w:highlight w:val="none"/>
          <w:lang w:val="en-US" w:eastAsia="zh-CN"/>
        </w:rPr>
        <w:t>许可类文件，保障项目能够开工建设；</w:t>
      </w:r>
    </w:p>
    <w:p w14:paraId="413759A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2.如工程方案及相关设计变更，由委托方提供变更材料，乙方仍需负责相关资料编制和文件手续办理；</w:t>
      </w:r>
    </w:p>
    <w:p w14:paraId="7968DA4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３.对涉及特许经营的相关服务内容有需要变更的，进行及时跟踪服务。</w:t>
      </w:r>
    </w:p>
    <w:p w14:paraId="06D1A6D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kern w:val="44"/>
          <w:sz w:val="32"/>
          <w:szCs w:val="32"/>
          <w:lang w:val="ru-RU" w:eastAsia="zh-CN"/>
        </w:rPr>
      </w:pPr>
      <w:r>
        <w:rPr>
          <w:rFonts w:hint="eastAsia" w:ascii="黑体" w:hAnsi="黑体" w:eastAsia="黑体" w:cs="黑体"/>
          <w:b w:val="0"/>
          <w:bCs w:val="0"/>
          <w:kern w:val="44"/>
          <w:sz w:val="32"/>
          <w:szCs w:val="32"/>
          <w:lang w:val="ru-RU" w:eastAsia="zh-CN"/>
        </w:rPr>
        <w:t>六、付款方式</w:t>
      </w:r>
    </w:p>
    <w:p w14:paraId="21C5832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采购方单位克孜勒苏柯尔克孜自治州交通运输局为甲方，服务方为乙方；</w:t>
      </w:r>
    </w:p>
    <w:p w14:paraId="1C76A596">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签订咨询服务合同的45天内，乙方提供支付资金申请及票据后，向乙方支付30%的服务费用;</w:t>
      </w:r>
    </w:p>
    <w:p w14:paraId="48742B81">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服务方根据工作要求，完成特许经营方案的编制、可行性论证服务的所有内容并取得批复意见后45天内，向乙方支付30%的服务费用</w:t>
      </w:r>
    </w:p>
    <w:p w14:paraId="759DD2E2">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配合完成谈判，完成初步协议、特许经营协议的编制工作内容后，向发改等部门备案，具备特许经营实施条件，并开展招标采购后45天内，向乙方支付30%的服务费用</w:t>
      </w:r>
    </w:p>
    <w:p w14:paraId="02EEC14C">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项目开工建设后，配合完成后续跟踪服务，完成所有合同条款内容后 45 天内，向乙方支付10%的服务费用。</w:t>
      </w:r>
    </w:p>
    <w:p w14:paraId="1F461B9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lang w:val="en-US" w:eastAsia="zh-CN"/>
        </w:rPr>
      </w:pPr>
    </w:p>
    <w:p w14:paraId="37B74D9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kern w:val="44"/>
          <w:sz w:val="32"/>
          <w:szCs w:val="32"/>
          <w:lang w:val="ru-RU" w:eastAsia="zh-CN"/>
        </w:rPr>
      </w:pPr>
    </w:p>
    <w:p w14:paraId="6F168462">
      <w:pPr>
        <w:keepNext/>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b w:val="0"/>
          <w:bCs w:val="0"/>
          <w:kern w:val="44"/>
          <w:sz w:val="32"/>
          <w:szCs w:val="32"/>
          <w:lang w:val="ru-RU" w:eastAsia="zh-CN"/>
        </w:rPr>
      </w:pPr>
    </w:p>
    <w:p w14:paraId="4D49851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3260E7"/>
    <w:multiLevelType w:val="singleLevel"/>
    <w:tmpl w:val="583260E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578"/>
    <w:rsid w:val="000F2C0D"/>
    <w:rsid w:val="00155FC7"/>
    <w:rsid w:val="002E6DD3"/>
    <w:rsid w:val="0047553A"/>
    <w:rsid w:val="005278E0"/>
    <w:rsid w:val="00545578"/>
    <w:rsid w:val="008504E6"/>
    <w:rsid w:val="00A518EF"/>
    <w:rsid w:val="00DF5190"/>
    <w:rsid w:val="0DF6FAA3"/>
    <w:rsid w:val="10FE6115"/>
    <w:rsid w:val="1B7F9E23"/>
    <w:rsid w:val="1DB76DB4"/>
    <w:rsid w:val="1FFFA984"/>
    <w:rsid w:val="21FF70AD"/>
    <w:rsid w:val="223E3BD3"/>
    <w:rsid w:val="25FF501D"/>
    <w:rsid w:val="2ABD4BFD"/>
    <w:rsid w:val="2D17B5EE"/>
    <w:rsid w:val="2FC94839"/>
    <w:rsid w:val="3BA0849C"/>
    <w:rsid w:val="3BFFC355"/>
    <w:rsid w:val="3DD5DA17"/>
    <w:rsid w:val="3DF3D161"/>
    <w:rsid w:val="3EED14B8"/>
    <w:rsid w:val="3F3BBDF9"/>
    <w:rsid w:val="3FBF1811"/>
    <w:rsid w:val="4F7B84F8"/>
    <w:rsid w:val="4F7F8EF8"/>
    <w:rsid w:val="582263A9"/>
    <w:rsid w:val="599B9841"/>
    <w:rsid w:val="5BED7749"/>
    <w:rsid w:val="5DCF6971"/>
    <w:rsid w:val="5DEF20C0"/>
    <w:rsid w:val="5DFFE49F"/>
    <w:rsid w:val="5E01727F"/>
    <w:rsid w:val="5F3DB92B"/>
    <w:rsid w:val="5F6B0847"/>
    <w:rsid w:val="5FFEC797"/>
    <w:rsid w:val="5FFF7B1E"/>
    <w:rsid w:val="6B571BFD"/>
    <w:rsid w:val="6DCD8FD8"/>
    <w:rsid w:val="73B76394"/>
    <w:rsid w:val="73DF504F"/>
    <w:rsid w:val="74B76AB5"/>
    <w:rsid w:val="756D7229"/>
    <w:rsid w:val="757B00F9"/>
    <w:rsid w:val="761FCF5D"/>
    <w:rsid w:val="765C85A1"/>
    <w:rsid w:val="76DFF5AB"/>
    <w:rsid w:val="774BA0A1"/>
    <w:rsid w:val="77777FA4"/>
    <w:rsid w:val="77D3FCA0"/>
    <w:rsid w:val="77F79CF6"/>
    <w:rsid w:val="7B6C2113"/>
    <w:rsid w:val="7BBD2705"/>
    <w:rsid w:val="7BFEFC85"/>
    <w:rsid w:val="7BFF2E1C"/>
    <w:rsid w:val="7CFF5A51"/>
    <w:rsid w:val="7DDE05E3"/>
    <w:rsid w:val="7DFDB57F"/>
    <w:rsid w:val="7E65D493"/>
    <w:rsid w:val="7EF94A46"/>
    <w:rsid w:val="7EFD3326"/>
    <w:rsid w:val="7F8FAF77"/>
    <w:rsid w:val="7FC78601"/>
    <w:rsid w:val="7FDE6D64"/>
    <w:rsid w:val="7FEF67F4"/>
    <w:rsid w:val="9AFF8FC9"/>
    <w:rsid w:val="9B7B8872"/>
    <w:rsid w:val="ADBF53B4"/>
    <w:rsid w:val="ADBFB9EB"/>
    <w:rsid w:val="ADFFD0CF"/>
    <w:rsid w:val="B7DFF370"/>
    <w:rsid w:val="B7FF22D4"/>
    <w:rsid w:val="BBE6E3C2"/>
    <w:rsid w:val="BBF7E6C1"/>
    <w:rsid w:val="BEF661EE"/>
    <w:rsid w:val="BFDD0151"/>
    <w:rsid w:val="BFEFEAE7"/>
    <w:rsid w:val="BFFF0529"/>
    <w:rsid w:val="D66F268D"/>
    <w:rsid w:val="DDF30C85"/>
    <w:rsid w:val="DFE7CBFB"/>
    <w:rsid w:val="DFF14633"/>
    <w:rsid w:val="DFFEA596"/>
    <w:rsid w:val="E37E13C1"/>
    <w:rsid w:val="E71B041C"/>
    <w:rsid w:val="E7FED1E6"/>
    <w:rsid w:val="E9B2E62D"/>
    <w:rsid w:val="ECD73B18"/>
    <w:rsid w:val="EFD90C77"/>
    <w:rsid w:val="EFF7AF5F"/>
    <w:rsid w:val="F4C7B91F"/>
    <w:rsid w:val="F4EC1B5B"/>
    <w:rsid w:val="F775D6D6"/>
    <w:rsid w:val="F7AF9647"/>
    <w:rsid w:val="F7BF0773"/>
    <w:rsid w:val="F7E10A42"/>
    <w:rsid w:val="F7FD3DF8"/>
    <w:rsid w:val="FB965A44"/>
    <w:rsid w:val="FBEEBB1F"/>
    <w:rsid w:val="FBFB111D"/>
    <w:rsid w:val="FBFF63FC"/>
    <w:rsid w:val="FCDFFCDB"/>
    <w:rsid w:val="FDDCD83E"/>
    <w:rsid w:val="FDFE63C5"/>
    <w:rsid w:val="FE7D71F8"/>
    <w:rsid w:val="FF79F9AE"/>
    <w:rsid w:val="FF7B3C00"/>
    <w:rsid w:val="FFEF4CC7"/>
    <w:rsid w:val="FFFE2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5</Pages>
  <Words>2116</Words>
  <Characters>2186</Characters>
  <Lines>7</Lines>
  <Paragraphs>2</Paragraphs>
  <TotalTime>0</TotalTime>
  <ScaleCrop>false</ScaleCrop>
  <LinksUpToDate>false</LinksUpToDate>
  <CharactersWithSpaces>2190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2024-08-27T00:12:00Z</dcterms:created>
  <dc:creator>liujun</dc:creator>
  <cp:lastModifiedBy>丫丫</cp:lastModifiedBy>
  <dcterms:modified xsi:type="dcterms:W3CDTF">2025-02-27T02:54:35Z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eyJoZGlkIjoiN2VmZmVlNGU2ZjQ0N2FmOGViZjNlZTJjNTMxNDUxYmYiLCJ1c2VySWQiOiIzNzc3ODQ2NDcifQ==</vt:lpwstr>
  </property>
  <property fmtid="{D5CDD505-2E9C-101B-9397-08002B2CF9AE}" pid="4" name="ICV">
    <vt:lpwstr>568D1F0EFF414E5F9076EA1F283EAD93_12</vt:lpwstr>
  </property>
</Properties>
</file>